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2D0" w:rsidRDefault="003D4782" w:rsidP="003D4782">
      <w:pPr>
        <w:tabs>
          <w:tab w:val="left" w:pos="567"/>
        </w:tabs>
        <w:autoSpaceDE w:val="0"/>
        <w:autoSpaceDN w:val="0"/>
        <w:adjustRightInd w:val="0"/>
        <w:spacing w:after="0" w:line="276" w:lineRule="auto"/>
        <w:jc w:val="center"/>
        <w:rPr>
          <w:rFonts w:ascii="Times New Roman" w:eastAsia="Calibri" w:hAnsi="Times New Roman" w:cs="Times New Roman"/>
          <w:color w:val="000000"/>
          <w:sz w:val="24"/>
          <w:szCs w:val="24"/>
        </w:rPr>
      </w:pPr>
      <w:bookmarkStart w:id="0" w:name="_GoBack"/>
      <w:r>
        <w:rPr>
          <w:rFonts w:ascii="Times New Roman" w:eastAsia="Calibri" w:hAnsi="Times New Roman" w:cs="Times New Roman"/>
          <w:color w:val="000000"/>
          <w:sz w:val="24"/>
          <w:szCs w:val="24"/>
        </w:rPr>
        <w:t>Выступление исполняющей полномочия председателя Контрольно-счетной палаты городского округа Лобня по результатам экспертно-аналитического мероприятия «В</w:t>
      </w:r>
      <w:r w:rsidRPr="00CC22D0">
        <w:rPr>
          <w:rFonts w:ascii="Times New Roman" w:eastAsia="Calibri" w:hAnsi="Times New Roman" w:cs="Times New Roman"/>
          <w:sz w:val="24"/>
          <w:szCs w:val="24"/>
          <w:lang w:eastAsia="ru-RU"/>
        </w:rPr>
        <w:t>нешняя проверка годовой бюджетной отчетности главных распорядителей, главных администраторов бюджета городского округа Лобня за 2020 год</w:t>
      </w:r>
      <w:r>
        <w:rPr>
          <w:rFonts w:ascii="Times New Roman" w:eastAsia="Calibri" w:hAnsi="Times New Roman" w:cs="Times New Roman"/>
          <w:sz w:val="24"/>
          <w:szCs w:val="24"/>
          <w:lang w:eastAsia="ru-RU"/>
        </w:rPr>
        <w:t>»</w:t>
      </w:r>
      <w:bookmarkEnd w:id="0"/>
      <w:r w:rsidR="00CC22D0">
        <w:rPr>
          <w:rFonts w:ascii="Times New Roman" w:eastAsia="Calibri" w:hAnsi="Times New Roman" w:cs="Times New Roman"/>
          <w:color w:val="000000"/>
          <w:sz w:val="24"/>
          <w:szCs w:val="24"/>
        </w:rPr>
        <w:t>.</w:t>
      </w:r>
    </w:p>
    <w:p w:rsidR="00CC22D0" w:rsidRDefault="00CC22D0" w:rsidP="00CC22D0">
      <w:pPr>
        <w:tabs>
          <w:tab w:val="left" w:pos="567"/>
        </w:tabs>
        <w:autoSpaceDE w:val="0"/>
        <w:autoSpaceDN w:val="0"/>
        <w:adjustRightInd w:val="0"/>
        <w:spacing w:after="0" w:line="276" w:lineRule="auto"/>
        <w:jc w:val="center"/>
        <w:rPr>
          <w:rFonts w:ascii="Times New Roman" w:eastAsia="Calibri" w:hAnsi="Times New Roman" w:cs="Times New Roman"/>
          <w:color w:val="000000"/>
          <w:sz w:val="24"/>
          <w:szCs w:val="24"/>
        </w:rPr>
      </w:pPr>
    </w:p>
    <w:p w:rsid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color w:val="000000"/>
          <w:sz w:val="24"/>
          <w:szCs w:val="24"/>
        </w:rPr>
      </w:pP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 xml:space="preserve">        </w:t>
      </w:r>
      <w:r w:rsidRPr="00CC22D0">
        <w:rPr>
          <w:rFonts w:ascii="Times New Roman" w:eastAsia="Calibri" w:hAnsi="Times New Roman" w:cs="Times New Roman"/>
          <w:sz w:val="24"/>
          <w:szCs w:val="24"/>
        </w:rPr>
        <w:t xml:space="preserve">    На основании пункта 2 статьи 9 Федерального закона № 6-ФЗ от 07.02.2011 года «Об общих принципах организации деятельности контрольно-счетных органов субъектов РФ и муниципальных образований»; статьи 157, статьи 264.4, статьи 268.1 Бюджетного кодекса РФ; Положения «О бюджетном процессе городского округа Лобня», принятого Решением Совета депутатов городского округа Лобня (далее – Совет депутатов) №45/7 от 30.01.2008 года; Положения «О Контрольно-счетной палате городского округа Лобня», принятым Решением Совета депутатов городского округа Лобня №179/9 от 23.07.2012 года; Плана работы Контрольно-счетной палаты городского округа Лобня на 2021 год, Контрольно-счетной палатой городского округа Лобня Московской области (далее - Контрольно-счетная палата) проведена «</w:t>
      </w:r>
      <w:r w:rsidRPr="00CC22D0">
        <w:rPr>
          <w:rFonts w:ascii="Times New Roman" w:eastAsia="Calibri" w:hAnsi="Times New Roman" w:cs="Times New Roman"/>
          <w:sz w:val="24"/>
          <w:szCs w:val="24"/>
          <w:lang w:eastAsia="ru-RU"/>
        </w:rPr>
        <w:t xml:space="preserve">внешняя проверка годовой бюджетной отчетности главных распорядителей, главных администраторов бюджета городского округа Лобня за 2020 год»,  на восьми объектах проверки: </w:t>
      </w: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z w:val="24"/>
          <w:szCs w:val="24"/>
          <w:lang w:eastAsia="ru-RU"/>
        </w:rPr>
      </w:pPr>
      <w:r w:rsidRPr="00CC22D0">
        <w:rPr>
          <w:rFonts w:ascii="Times New Roman" w:eastAsia="Calibri" w:hAnsi="Times New Roman" w:cs="Times New Roman"/>
          <w:sz w:val="24"/>
          <w:szCs w:val="24"/>
          <w:lang w:eastAsia="ru-RU"/>
        </w:rPr>
        <w:t xml:space="preserve">1) Администрация </w:t>
      </w:r>
      <w:r w:rsidRPr="00CC22D0">
        <w:rPr>
          <w:rFonts w:ascii="Times New Roman" w:eastAsia="Calibri" w:hAnsi="Times New Roman" w:cs="Times New Roman"/>
          <w:sz w:val="24"/>
          <w:szCs w:val="24"/>
        </w:rPr>
        <w:t>городского округа Лобня</w:t>
      </w:r>
      <w:r w:rsidRPr="00CC22D0">
        <w:rPr>
          <w:rFonts w:ascii="Times New Roman" w:eastAsia="Calibri" w:hAnsi="Times New Roman" w:cs="Times New Roman"/>
          <w:sz w:val="24"/>
          <w:szCs w:val="24"/>
          <w:lang w:eastAsia="ru-RU"/>
        </w:rPr>
        <w:t>;</w:t>
      </w: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z w:val="24"/>
          <w:szCs w:val="24"/>
          <w:lang w:eastAsia="ru-RU"/>
        </w:rPr>
      </w:pPr>
      <w:r w:rsidRPr="00CC22D0">
        <w:rPr>
          <w:rFonts w:ascii="Times New Roman" w:eastAsia="Calibri" w:hAnsi="Times New Roman" w:cs="Times New Roman"/>
          <w:sz w:val="24"/>
          <w:szCs w:val="24"/>
          <w:lang w:eastAsia="ru-RU"/>
        </w:rPr>
        <w:t xml:space="preserve">2) Управление образования Администрации </w:t>
      </w:r>
      <w:r w:rsidRPr="00CC22D0">
        <w:rPr>
          <w:rFonts w:ascii="Times New Roman" w:eastAsia="Calibri" w:hAnsi="Times New Roman" w:cs="Times New Roman"/>
          <w:sz w:val="24"/>
          <w:szCs w:val="24"/>
        </w:rPr>
        <w:t>городского округа Лобня;</w:t>
      </w: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z w:val="24"/>
          <w:szCs w:val="24"/>
        </w:rPr>
      </w:pPr>
      <w:r w:rsidRPr="00CC22D0">
        <w:rPr>
          <w:rFonts w:ascii="Times New Roman" w:eastAsia="Calibri" w:hAnsi="Times New Roman" w:cs="Times New Roman"/>
          <w:sz w:val="24"/>
          <w:szCs w:val="24"/>
          <w:lang w:eastAsia="ru-RU"/>
        </w:rPr>
        <w:t xml:space="preserve">3) Управление культуры </w:t>
      </w:r>
      <w:r w:rsidRPr="00CC22D0">
        <w:rPr>
          <w:rFonts w:ascii="Times New Roman" w:eastAsia="Calibri" w:hAnsi="Times New Roman" w:cs="Times New Roman"/>
          <w:sz w:val="24"/>
          <w:szCs w:val="24"/>
        </w:rPr>
        <w:t>городского округа Лобня;</w:t>
      </w: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z w:val="24"/>
          <w:szCs w:val="24"/>
        </w:rPr>
      </w:pPr>
      <w:r w:rsidRPr="00CC22D0">
        <w:rPr>
          <w:rFonts w:ascii="Times New Roman" w:eastAsia="Calibri" w:hAnsi="Times New Roman" w:cs="Times New Roman"/>
          <w:sz w:val="24"/>
          <w:szCs w:val="24"/>
        </w:rPr>
        <w:t xml:space="preserve">4) Комитет по физической культуре, спорту и работе с молодежью </w:t>
      </w:r>
      <w:r w:rsidRPr="00CC22D0">
        <w:rPr>
          <w:rFonts w:ascii="Times New Roman" w:eastAsia="Calibri" w:hAnsi="Times New Roman" w:cs="Times New Roman"/>
          <w:sz w:val="24"/>
          <w:szCs w:val="24"/>
          <w:lang w:eastAsia="ru-RU"/>
        </w:rPr>
        <w:t>Администрации</w:t>
      </w:r>
      <w:r w:rsidRPr="00CC22D0">
        <w:rPr>
          <w:rFonts w:ascii="Times New Roman" w:eastAsia="Calibri" w:hAnsi="Times New Roman" w:cs="Times New Roman"/>
          <w:sz w:val="24"/>
          <w:szCs w:val="24"/>
        </w:rPr>
        <w:t xml:space="preserve"> городского округа Лобня;</w:t>
      </w: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z w:val="24"/>
          <w:szCs w:val="24"/>
        </w:rPr>
      </w:pPr>
      <w:r w:rsidRPr="00CC22D0">
        <w:rPr>
          <w:rFonts w:ascii="Times New Roman" w:eastAsia="Calibri" w:hAnsi="Times New Roman" w:cs="Times New Roman"/>
          <w:sz w:val="24"/>
          <w:szCs w:val="24"/>
        </w:rPr>
        <w:t xml:space="preserve">5) Комитет по управлению имуществом </w:t>
      </w:r>
      <w:r w:rsidRPr="00CC22D0">
        <w:rPr>
          <w:rFonts w:ascii="Times New Roman" w:eastAsia="Calibri" w:hAnsi="Times New Roman" w:cs="Times New Roman"/>
          <w:sz w:val="24"/>
          <w:szCs w:val="24"/>
          <w:lang w:eastAsia="ru-RU"/>
        </w:rPr>
        <w:t>Администрации</w:t>
      </w:r>
      <w:r w:rsidRPr="00CC22D0">
        <w:rPr>
          <w:rFonts w:ascii="Times New Roman" w:eastAsia="Calibri" w:hAnsi="Times New Roman" w:cs="Times New Roman"/>
          <w:sz w:val="24"/>
          <w:szCs w:val="24"/>
        </w:rPr>
        <w:t xml:space="preserve"> городского округа Лобня;</w:t>
      </w: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z w:val="24"/>
          <w:szCs w:val="24"/>
        </w:rPr>
      </w:pPr>
      <w:r w:rsidRPr="00CC22D0">
        <w:rPr>
          <w:rFonts w:ascii="Times New Roman" w:eastAsia="Calibri" w:hAnsi="Times New Roman" w:cs="Times New Roman"/>
          <w:sz w:val="24"/>
          <w:szCs w:val="24"/>
        </w:rPr>
        <w:t xml:space="preserve">6) Финансовое управление </w:t>
      </w:r>
      <w:r w:rsidRPr="00CC22D0">
        <w:rPr>
          <w:rFonts w:ascii="Times New Roman" w:eastAsia="Calibri" w:hAnsi="Times New Roman" w:cs="Times New Roman"/>
          <w:sz w:val="24"/>
          <w:szCs w:val="24"/>
          <w:lang w:eastAsia="ru-RU"/>
        </w:rPr>
        <w:t>Администрации</w:t>
      </w:r>
      <w:r w:rsidRPr="00CC22D0">
        <w:rPr>
          <w:rFonts w:ascii="Times New Roman" w:eastAsia="Calibri" w:hAnsi="Times New Roman" w:cs="Times New Roman"/>
          <w:sz w:val="24"/>
          <w:szCs w:val="24"/>
        </w:rPr>
        <w:t xml:space="preserve"> городского округа Лобня.</w:t>
      </w: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z w:val="24"/>
          <w:szCs w:val="24"/>
        </w:rPr>
      </w:pPr>
      <w:r w:rsidRPr="00CC22D0">
        <w:rPr>
          <w:rFonts w:ascii="Times New Roman" w:eastAsia="Calibri" w:hAnsi="Times New Roman" w:cs="Times New Roman"/>
          <w:sz w:val="24"/>
          <w:szCs w:val="24"/>
        </w:rPr>
        <w:t>7) Совет депутатов городского округа Лобня;</w:t>
      </w: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mallCaps/>
          <w:sz w:val="24"/>
          <w:szCs w:val="24"/>
        </w:rPr>
      </w:pPr>
      <w:r w:rsidRPr="00CC22D0">
        <w:rPr>
          <w:rFonts w:ascii="Times New Roman" w:eastAsia="Calibri" w:hAnsi="Times New Roman" w:cs="Times New Roman"/>
          <w:sz w:val="24"/>
          <w:szCs w:val="24"/>
        </w:rPr>
        <w:t>8) Контрольно-счетная палата городского округа Лобня.</w:t>
      </w:r>
    </w:p>
    <w:p w:rsidR="00CC22D0" w:rsidRPr="00CC22D0" w:rsidRDefault="00CC22D0" w:rsidP="005C3002">
      <w:pPr>
        <w:tabs>
          <w:tab w:val="left" w:pos="567"/>
        </w:tabs>
        <w:spacing w:after="0" w:line="276" w:lineRule="auto"/>
        <w:ind w:firstLine="567"/>
        <w:jc w:val="both"/>
        <w:rPr>
          <w:rFonts w:ascii="Times New Roman" w:eastAsia="Calibri" w:hAnsi="Times New Roman" w:cs="Times New Roman"/>
          <w:sz w:val="24"/>
          <w:szCs w:val="24"/>
        </w:rPr>
      </w:pPr>
      <w:r w:rsidRPr="00CC22D0">
        <w:rPr>
          <w:rFonts w:ascii="Times New Roman" w:eastAsia="Times New Roman" w:hAnsi="Times New Roman" w:cs="Times New Roman"/>
          <w:bCs/>
          <w:sz w:val="24"/>
          <w:szCs w:val="24"/>
          <w:lang w:eastAsia="ru-RU"/>
        </w:rPr>
        <w:t>В исполнение пункта 7 статьи 81, пункта 3 статьи 264.4 Бюджетного кодекса РФ, Финансовым управлением Администрации городского округа Лобня 31.03.2021 года в электронном виде направлен в Контрольно-счетную палату городского округа Лобня проект отчета «об исполнении бюджета городского округа Лобня за 2020 год»</w:t>
      </w:r>
      <w:r w:rsidR="005C3002">
        <w:rPr>
          <w:rFonts w:ascii="Times New Roman" w:eastAsia="Times New Roman" w:hAnsi="Times New Roman" w:cs="Times New Roman"/>
          <w:bCs/>
          <w:sz w:val="24"/>
          <w:szCs w:val="24"/>
          <w:lang w:eastAsia="ru-RU"/>
        </w:rPr>
        <w:t>.</w:t>
      </w:r>
    </w:p>
    <w:p w:rsidR="00CC22D0" w:rsidRPr="00CC22D0" w:rsidRDefault="00CC22D0" w:rsidP="00CC22D0">
      <w:pPr>
        <w:spacing w:after="0" w:line="276" w:lineRule="auto"/>
        <w:ind w:firstLine="567"/>
        <w:jc w:val="both"/>
        <w:rPr>
          <w:rFonts w:ascii="Times New Roman" w:eastAsia="Calibri" w:hAnsi="Times New Roman" w:cs="Times New Roman"/>
          <w:sz w:val="24"/>
          <w:szCs w:val="24"/>
        </w:rPr>
      </w:pPr>
      <w:r w:rsidRPr="00CC22D0">
        <w:rPr>
          <w:rFonts w:ascii="Times New Roman" w:eastAsia="Calibri" w:hAnsi="Times New Roman" w:cs="Times New Roman"/>
          <w:sz w:val="24"/>
          <w:szCs w:val="24"/>
        </w:rPr>
        <w:t xml:space="preserve"> Сопроводительным письмом Исполняющего обязанности Главы Администрации городского округа Лобня №142/1-37 от 31.03.2021 года на бумажном носителе представлен проект отчета «Об исполнении бюджета городского округа Лобня за 2020 год» в Контрольно-счетную палату городского округа Лобня 05.04.2021 года.</w:t>
      </w:r>
    </w:p>
    <w:p w:rsidR="00CC22D0" w:rsidRPr="00CC22D0" w:rsidRDefault="00CC22D0" w:rsidP="00CC22D0">
      <w:pPr>
        <w:tabs>
          <w:tab w:val="left" w:pos="567"/>
        </w:tabs>
        <w:autoSpaceDE w:val="0"/>
        <w:autoSpaceDN w:val="0"/>
        <w:adjustRightInd w:val="0"/>
        <w:spacing w:after="0" w:line="276" w:lineRule="auto"/>
        <w:jc w:val="both"/>
        <w:rPr>
          <w:rFonts w:ascii="Times New Roman" w:eastAsia="Calibri" w:hAnsi="Times New Roman" w:cs="Times New Roman"/>
          <w:sz w:val="24"/>
          <w:szCs w:val="24"/>
        </w:rPr>
      </w:pPr>
      <w:r w:rsidRPr="00CC22D0">
        <w:rPr>
          <w:rFonts w:ascii="Times New Roman" w:eastAsia="Calibri" w:hAnsi="Times New Roman" w:cs="Times New Roman"/>
          <w:sz w:val="24"/>
          <w:szCs w:val="24"/>
        </w:rPr>
        <w:t xml:space="preserve">         Показатели проекта Решения Совета депутатов «Об исполнении бюджета городского округа Лобня за 2020 год», поступившего в Контрольно-счетную палату в электронном виде 31.03.2021 года, соответствуют показателям отчета «Об исполнении бюджета городского округа Лобня за 2020 год».</w:t>
      </w:r>
    </w:p>
    <w:p w:rsidR="007A353A" w:rsidRDefault="00CC22D0" w:rsidP="007A353A">
      <w:pPr>
        <w:tabs>
          <w:tab w:val="left" w:pos="567"/>
        </w:tabs>
        <w:autoSpaceDE w:val="0"/>
        <w:autoSpaceDN w:val="0"/>
        <w:adjustRightInd w:val="0"/>
        <w:spacing w:after="0" w:line="276" w:lineRule="auto"/>
        <w:ind w:firstLine="567"/>
        <w:jc w:val="both"/>
        <w:rPr>
          <w:rFonts w:ascii="Times New Roman" w:eastAsia="Times New Roman" w:hAnsi="Times New Roman" w:cs="Arial"/>
          <w:sz w:val="24"/>
          <w:szCs w:val="24"/>
          <w:lang w:eastAsia="ru-RU"/>
        </w:rPr>
      </w:pPr>
      <w:r w:rsidRPr="00CC22D0">
        <w:rPr>
          <w:rFonts w:ascii="Times New Roman" w:eastAsia="Times New Roman" w:hAnsi="Times New Roman" w:cs="Arial"/>
          <w:sz w:val="24"/>
          <w:szCs w:val="24"/>
          <w:lang w:eastAsia="ru-RU"/>
        </w:rPr>
        <w:t xml:space="preserve">В исполнение </w:t>
      </w:r>
      <w:r w:rsidRPr="00CC22D0">
        <w:rPr>
          <w:rFonts w:ascii="Times New Roman" w:eastAsia="Times New Roman" w:hAnsi="Times New Roman" w:cs="Arial"/>
          <w:bCs/>
          <w:sz w:val="24"/>
          <w:szCs w:val="24"/>
          <w:lang w:eastAsia="ru-RU"/>
        </w:rPr>
        <w:t>пункта 4 статьи 264.4 Бюджетного кодекса РФ, пункта 4 Положения</w:t>
      </w:r>
      <w:r w:rsidRPr="00CC22D0">
        <w:rPr>
          <w:rFonts w:ascii="Times New Roman" w:eastAsia="Times New Roman" w:hAnsi="Times New Roman" w:cs="Arial"/>
          <w:sz w:val="24"/>
          <w:szCs w:val="24"/>
          <w:lang w:eastAsia="ru-RU"/>
        </w:rPr>
        <w:t xml:space="preserve"> «О бюджетном процессе городского округа Лобня», утверждённого Решением Совета депутатов №45/7 от 30.01.2008 года (с учетом изменений), Контрольно-счетной палатой</w:t>
      </w:r>
      <w:r w:rsidRPr="00CC22D0">
        <w:rPr>
          <w:rFonts w:ascii="Times New Roman" w:eastAsia="Times New Roman" w:hAnsi="Times New Roman" w:cs="Times New Roman"/>
          <w:sz w:val="24"/>
          <w:szCs w:val="24"/>
          <w:lang w:eastAsia="ru-RU"/>
        </w:rPr>
        <w:t xml:space="preserve"> подготовлено Заключение на «отчет об исполнении бюджета городского округа Лобня за 2020 год» с учетом материалов проведенного планового контрольного мероприятия </w:t>
      </w:r>
      <w:r w:rsidRPr="00CC22D0">
        <w:rPr>
          <w:rFonts w:ascii="Times New Roman" w:eastAsia="Times New Roman" w:hAnsi="Times New Roman" w:cs="Arial"/>
          <w:sz w:val="24"/>
          <w:szCs w:val="24"/>
          <w:lang w:eastAsia="ru-RU"/>
        </w:rPr>
        <w:t>«внешней проверки годовой бюджетной отчетности главных распорядителей, главных администраторов бюджета городского округа Лобня за 2020 год».</w:t>
      </w:r>
      <w:r w:rsidR="007A353A">
        <w:rPr>
          <w:rFonts w:ascii="Times New Roman" w:eastAsia="Times New Roman" w:hAnsi="Times New Roman" w:cs="Arial"/>
          <w:sz w:val="24"/>
          <w:szCs w:val="24"/>
          <w:lang w:eastAsia="ru-RU"/>
        </w:rPr>
        <w:t xml:space="preserve"> </w:t>
      </w:r>
    </w:p>
    <w:p w:rsidR="000377AB" w:rsidRPr="000377AB" w:rsidRDefault="007A353A" w:rsidP="007A353A">
      <w:pPr>
        <w:tabs>
          <w:tab w:val="left" w:pos="567"/>
        </w:tabs>
        <w:autoSpaceDE w:val="0"/>
        <w:autoSpaceDN w:val="0"/>
        <w:adjustRightInd w:val="0"/>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Б</w:t>
      </w:r>
      <w:r w:rsidR="000377AB" w:rsidRPr="000377AB">
        <w:rPr>
          <w:rFonts w:ascii="Times New Roman" w:eastAsia="Calibri" w:hAnsi="Times New Roman" w:cs="Times New Roman"/>
          <w:sz w:val="24"/>
          <w:szCs w:val="24"/>
        </w:rPr>
        <w:t>юджет городского округа Лобня за 2020 год исполнен:</w:t>
      </w:r>
    </w:p>
    <w:p w:rsidR="000377AB" w:rsidRPr="000377AB" w:rsidRDefault="000377AB" w:rsidP="000377AB">
      <w:pPr>
        <w:spacing w:after="0" w:line="276" w:lineRule="auto"/>
        <w:ind w:firstLine="709"/>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по доходам в сумме 2 965 496,6 тыс. руб., или 91,4% к уточненному годовому плану, недовыполнение уточненного плана составило – 80 764,6 тыс. руб.;</w:t>
      </w:r>
    </w:p>
    <w:p w:rsidR="000377AB" w:rsidRPr="000377AB" w:rsidRDefault="000377AB" w:rsidP="000377AB">
      <w:pPr>
        <w:spacing w:after="0" w:line="276" w:lineRule="auto"/>
        <w:ind w:firstLine="709"/>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по расходам в сумме 3 046 261,2 тыс. руб., или 90,0% к уточненному годовому плану, недовыполнение уточненного плана составило – 338 090,5 тыс. руб.</w:t>
      </w:r>
    </w:p>
    <w:p w:rsidR="000377AB" w:rsidRPr="000377AB" w:rsidRDefault="000377AB" w:rsidP="000377AB">
      <w:pPr>
        <w:tabs>
          <w:tab w:val="left" w:pos="567"/>
        </w:tabs>
        <w:spacing w:after="0" w:line="276" w:lineRule="auto"/>
        <w:ind w:firstLine="709"/>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с дефицитом 80 764,6 тыс. руб., или 5,7% в пределах допустимого значения, согласно статьи 92.1 Бюджетного кодекса РФ.</w:t>
      </w:r>
    </w:p>
    <w:p w:rsidR="000377AB" w:rsidRDefault="000377AB" w:rsidP="00030D87">
      <w:pPr>
        <w:tabs>
          <w:tab w:val="left" w:pos="567"/>
        </w:tabs>
        <w:spacing w:after="0" w:line="276" w:lineRule="auto"/>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xml:space="preserve">              Фактическое исполнение местного бюджета за 2020 год по сравнению с 2019 годом: доходной части сократилось на 349 521,5 тыс. руб. или 10,54%, расходной части сократилось на 339 266,0 тыс. руб. или 10,02%.</w:t>
      </w:r>
    </w:p>
    <w:p w:rsidR="00BC5D2A" w:rsidRPr="00BC5D2A" w:rsidRDefault="00BC5D2A" w:rsidP="00BC5D2A">
      <w:pPr>
        <w:tabs>
          <w:tab w:val="left" w:pos="567"/>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C5D2A">
        <w:rPr>
          <w:rFonts w:ascii="Times New Roman" w:eastAsia="Calibri" w:hAnsi="Times New Roman" w:cs="Times New Roman"/>
          <w:sz w:val="24"/>
          <w:szCs w:val="24"/>
        </w:rPr>
        <w:t xml:space="preserve">В местный бюджет за 2020 год четыре раз вносились суммовые изменения, первоначальный плановый показатель по доходам снижен на – </w:t>
      </w:r>
      <w:r w:rsidRPr="00BC5D2A">
        <w:rPr>
          <w:rFonts w:ascii="Times New Roman" w:eastAsia="Times New Roman" w:hAnsi="Times New Roman" w:cs="Times New Roman"/>
          <w:color w:val="000000"/>
          <w:sz w:val="24"/>
          <w:szCs w:val="24"/>
          <w:lang w:eastAsia="ru-RU"/>
        </w:rPr>
        <w:t>863 046,7 тыс. руб.</w:t>
      </w:r>
      <w:r w:rsidRPr="00BC5D2A">
        <w:rPr>
          <w:rFonts w:ascii="Times New Roman" w:eastAsia="Calibri" w:hAnsi="Times New Roman" w:cs="Times New Roman"/>
          <w:sz w:val="24"/>
          <w:szCs w:val="24"/>
        </w:rPr>
        <w:t>, по расходам снижен на – 878 691,2</w:t>
      </w:r>
      <w:r w:rsidRPr="00BC5D2A">
        <w:rPr>
          <w:rFonts w:ascii="Times New Roman" w:eastAsia="Times New Roman" w:hAnsi="Times New Roman" w:cs="Times New Roman"/>
          <w:color w:val="000000"/>
          <w:sz w:val="24"/>
          <w:szCs w:val="24"/>
          <w:lang w:eastAsia="ru-RU"/>
        </w:rPr>
        <w:t xml:space="preserve"> тыс. руб.</w:t>
      </w:r>
    </w:p>
    <w:p w:rsidR="000377AB" w:rsidRPr="000377AB" w:rsidRDefault="000377AB" w:rsidP="000377AB">
      <w:pPr>
        <w:tabs>
          <w:tab w:val="left" w:pos="567"/>
          <w:tab w:val="left" w:pos="709"/>
        </w:tabs>
        <w:spacing w:after="0" w:line="276" w:lineRule="auto"/>
        <w:jc w:val="both"/>
        <w:rPr>
          <w:rFonts w:ascii="Times New Roman" w:eastAsia="Times New Roman" w:hAnsi="Times New Roman" w:cs="Times New Roman"/>
          <w:color w:val="000000"/>
          <w:sz w:val="24"/>
          <w:szCs w:val="24"/>
          <w:lang w:eastAsia="ru-RU"/>
        </w:rPr>
      </w:pPr>
      <w:r w:rsidRPr="000377AB">
        <w:rPr>
          <w:rFonts w:ascii="Times New Roman" w:eastAsia="Calibri" w:hAnsi="Times New Roman" w:cs="Times New Roman"/>
          <w:sz w:val="24"/>
          <w:szCs w:val="24"/>
        </w:rPr>
        <w:t xml:space="preserve">         В общем объеме полученных фактических доходов бюджета за 2020 год, доля налоговых доходов составила 1 201 639,5 тыс. руб. или </w:t>
      </w:r>
      <w:r w:rsidRPr="000377AB">
        <w:rPr>
          <w:rFonts w:ascii="Times New Roman" w:eastAsia="Times New Roman" w:hAnsi="Times New Roman" w:cs="Times New Roman"/>
          <w:sz w:val="24"/>
          <w:szCs w:val="24"/>
          <w:lang w:eastAsia="ru-RU"/>
        </w:rPr>
        <w:t>40,52</w:t>
      </w:r>
      <w:r w:rsidRPr="000377AB">
        <w:rPr>
          <w:rFonts w:ascii="Times New Roman" w:eastAsia="Calibri" w:hAnsi="Times New Roman" w:cs="Times New Roman"/>
          <w:sz w:val="24"/>
          <w:szCs w:val="24"/>
        </w:rPr>
        <w:t xml:space="preserve">%, доля неналоговых доходов составила 223 290,6 тыс. руб. или </w:t>
      </w:r>
      <w:r w:rsidRPr="000377AB">
        <w:rPr>
          <w:rFonts w:ascii="Times New Roman" w:eastAsia="Times New Roman" w:hAnsi="Times New Roman" w:cs="Times New Roman"/>
          <w:sz w:val="24"/>
          <w:szCs w:val="24"/>
          <w:lang w:eastAsia="ru-RU"/>
        </w:rPr>
        <w:t>7,53</w:t>
      </w:r>
      <w:r w:rsidRPr="000377AB">
        <w:rPr>
          <w:rFonts w:ascii="Times New Roman" w:eastAsia="Calibri" w:hAnsi="Times New Roman" w:cs="Times New Roman"/>
          <w:sz w:val="24"/>
          <w:szCs w:val="24"/>
        </w:rPr>
        <w:t>%, доля безвозмездных поступлений составила 1 540 566,5 тыс. руб. или 51,95%.</w:t>
      </w:r>
    </w:p>
    <w:p w:rsidR="000377AB" w:rsidRPr="000377AB" w:rsidRDefault="000377AB" w:rsidP="000377AB">
      <w:pPr>
        <w:tabs>
          <w:tab w:val="left" w:pos="567"/>
          <w:tab w:val="left" w:pos="709"/>
        </w:tabs>
        <w:spacing w:after="0" w:line="276" w:lineRule="auto"/>
        <w:jc w:val="both"/>
        <w:rPr>
          <w:rFonts w:ascii="Times New Roman" w:eastAsia="Times New Roman" w:hAnsi="Times New Roman" w:cs="Times New Roman"/>
          <w:bCs/>
          <w:color w:val="000000"/>
          <w:sz w:val="24"/>
          <w:szCs w:val="24"/>
          <w:lang w:eastAsia="ru-RU"/>
        </w:rPr>
      </w:pPr>
      <w:r w:rsidRPr="000377AB">
        <w:rPr>
          <w:rFonts w:ascii="Times New Roman" w:eastAsia="Calibri" w:hAnsi="Times New Roman" w:cs="Times New Roman"/>
          <w:sz w:val="24"/>
          <w:szCs w:val="24"/>
        </w:rPr>
        <w:t xml:space="preserve">         По итогам исполнения бюджета за 2020 год, по сравнению с итогами 2019 года доходная часть бюджета уменьшилась в общей сумме на </w:t>
      </w:r>
      <w:r w:rsidRPr="000377AB">
        <w:rPr>
          <w:rFonts w:ascii="Times New Roman" w:eastAsia="Times New Roman" w:hAnsi="Times New Roman" w:cs="Times New Roman"/>
          <w:bCs/>
          <w:color w:val="000000"/>
          <w:sz w:val="24"/>
          <w:szCs w:val="24"/>
          <w:lang w:eastAsia="ru-RU"/>
        </w:rPr>
        <w:t xml:space="preserve">349 521,5 </w:t>
      </w:r>
      <w:r w:rsidRPr="000377AB">
        <w:rPr>
          <w:rFonts w:ascii="Times New Roman" w:eastAsia="Times New Roman" w:hAnsi="Times New Roman" w:cs="Times New Roman"/>
          <w:bCs/>
          <w:sz w:val="24"/>
          <w:szCs w:val="24"/>
          <w:lang w:eastAsia="ru-RU"/>
        </w:rPr>
        <w:t xml:space="preserve">тыс. руб. или 10,54 % в </w:t>
      </w:r>
      <w:proofErr w:type="spellStart"/>
      <w:r w:rsidRPr="000377AB">
        <w:rPr>
          <w:rFonts w:ascii="Times New Roman" w:eastAsia="Times New Roman" w:hAnsi="Times New Roman" w:cs="Times New Roman"/>
          <w:bCs/>
          <w:sz w:val="24"/>
          <w:szCs w:val="24"/>
          <w:lang w:eastAsia="ru-RU"/>
        </w:rPr>
        <w:t>т.ч</w:t>
      </w:r>
      <w:proofErr w:type="spellEnd"/>
      <w:r w:rsidRPr="000377AB">
        <w:rPr>
          <w:rFonts w:ascii="Times New Roman" w:eastAsia="Times New Roman" w:hAnsi="Times New Roman" w:cs="Times New Roman"/>
          <w:bCs/>
          <w:sz w:val="24"/>
          <w:szCs w:val="24"/>
          <w:lang w:eastAsia="ru-RU"/>
        </w:rPr>
        <w:t xml:space="preserve">. поступление налоговых доходов уменьшилось на </w:t>
      </w:r>
      <w:r w:rsidRPr="000377AB">
        <w:rPr>
          <w:rFonts w:ascii="Times New Roman" w:eastAsia="Times New Roman" w:hAnsi="Times New Roman" w:cs="Times New Roman"/>
          <w:bCs/>
          <w:color w:val="000000"/>
          <w:sz w:val="24"/>
          <w:szCs w:val="24"/>
          <w:lang w:eastAsia="ru-RU"/>
        </w:rPr>
        <w:t xml:space="preserve">132 619,3 тыс. руб. или 9,94%, поступление неналоговых доходов </w:t>
      </w:r>
      <w:r w:rsidRPr="000377AB">
        <w:rPr>
          <w:rFonts w:ascii="Times New Roman" w:eastAsia="Times New Roman" w:hAnsi="Times New Roman" w:cs="Times New Roman"/>
          <w:bCs/>
          <w:sz w:val="24"/>
          <w:szCs w:val="24"/>
          <w:lang w:eastAsia="ru-RU"/>
        </w:rPr>
        <w:t>увеличены</w:t>
      </w:r>
      <w:r w:rsidRPr="000377AB">
        <w:rPr>
          <w:rFonts w:ascii="Times New Roman" w:eastAsia="Times New Roman" w:hAnsi="Times New Roman" w:cs="Times New Roman"/>
          <w:bCs/>
          <w:color w:val="000000"/>
          <w:sz w:val="24"/>
          <w:szCs w:val="24"/>
          <w:lang w:eastAsia="ru-RU"/>
        </w:rPr>
        <w:t xml:space="preserve"> на 6 878,9 тыс. руб. или 3,18%, </w:t>
      </w:r>
      <w:r w:rsidRPr="000377AB">
        <w:rPr>
          <w:rFonts w:ascii="Times New Roman" w:eastAsia="Calibri" w:hAnsi="Times New Roman" w:cs="Times New Roman"/>
          <w:sz w:val="24"/>
          <w:szCs w:val="24"/>
        </w:rPr>
        <w:t xml:space="preserve">безвозмездные поступления снижены на </w:t>
      </w:r>
      <w:r w:rsidRPr="000377AB">
        <w:rPr>
          <w:rFonts w:ascii="Times New Roman" w:eastAsia="Times New Roman" w:hAnsi="Times New Roman" w:cs="Times New Roman"/>
          <w:bCs/>
          <w:color w:val="000000"/>
          <w:sz w:val="24"/>
          <w:szCs w:val="24"/>
          <w:lang w:eastAsia="ru-RU"/>
        </w:rPr>
        <w:t xml:space="preserve">223 781,1 тыс. руб. или 12,68%. </w:t>
      </w:r>
    </w:p>
    <w:p w:rsidR="000377AB" w:rsidRPr="000377AB" w:rsidRDefault="000377AB" w:rsidP="000377AB">
      <w:pPr>
        <w:tabs>
          <w:tab w:val="left" w:pos="567"/>
          <w:tab w:val="left" w:pos="709"/>
        </w:tabs>
        <w:spacing w:after="0" w:line="276" w:lineRule="auto"/>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xml:space="preserve">         Основным источником собственных доходов бюджета в 2020 году, как и в прошлые годы является налог на доходы физических лиц 707 498,3 тыс. руб. В 2020 году налог на доходы физических лиц в общей сумме собственных доходов местного бюджета составляет 84,33%, в общей сумме налоговых доходов составляет 58,88%, в общей сумме доходов бюджета городского округа Лобня составляет </w:t>
      </w:r>
      <w:r w:rsidRPr="000377AB">
        <w:rPr>
          <w:rFonts w:ascii="Times New Roman" w:eastAsia="Calibri" w:hAnsi="Times New Roman" w:cs="Times New Roman"/>
          <w:sz w:val="24"/>
          <w:szCs w:val="24"/>
          <w:shd w:val="clear" w:color="auto" w:fill="FFFFFF"/>
        </w:rPr>
        <w:t>23,86%.</w:t>
      </w:r>
    </w:p>
    <w:p w:rsidR="000377AB" w:rsidRPr="000377AB" w:rsidRDefault="000377AB" w:rsidP="000377AB">
      <w:pPr>
        <w:tabs>
          <w:tab w:val="left" w:pos="567"/>
          <w:tab w:val="left" w:pos="709"/>
        </w:tabs>
        <w:spacing w:after="0" w:line="276" w:lineRule="auto"/>
        <w:jc w:val="both"/>
        <w:rPr>
          <w:rFonts w:ascii="Times New Roman" w:eastAsia="Calibri" w:hAnsi="Times New Roman" w:cs="Times New Roman"/>
          <w:sz w:val="24"/>
          <w:szCs w:val="24"/>
          <w:shd w:val="clear" w:color="auto" w:fill="FFFFFF"/>
        </w:rPr>
      </w:pPr>
      <w:r w:rsidRPr="000377AB">
        <w:rPr>
          <w:rFonts w:ascii="Times New Roman" w:eastAsia="Calibri" w:hAnsi="Times New Roman" w:cs="Times New Roman"/>
          <w:sz w:val="24"/>
          <w:szCs w:val="24"/>
          <w:shd w:val="clear" w:color="auto" w:fill="FFFFFF"/>
        </w:rPr>
        <w:t xml:space="preserve">         Фактическое уменьшение платежей в местный бюджет </w:t>
      </w:r>
      <w:r w:rsidRPr="000377AB">
        <w:rPr>
          <w:rFonts w:ascii="Times New Roman" w:eastAsia="Calibri" w:hAnsi="Times New Roman" w:cs="Times New Roman"/>
          <w:sz w:val="24"/>
          <w:szCs w:val="24"/>
        </w:rPr>
        <w:t>налога на доходы физических лиц</w:t>
      </w:r>
      <w:r w:rsidRPr="000377AB">
        <w:rPr>
          <w:rFonts w:ascii="Times New Roman" w:eastAsia="Calibri" w:hAnsi="Times New Roman" w:cs="Times New Roman"/>
          <w:sz w:val="24"/>
          <w:szCs w:val="24"/>
          <w:shd w:val="clear" w:color="auto" w:fill="FFFFFF"/>
        </w:rPr>
        <w:t xml:space="preserve"> по сравнению с 2019 годом составило 133 596,1 тыс. руб. или 15,88%.</w:t>
      </w:r>
    </w:p>
    <w:p w:rsidR="000377AB" w:rsidRPr="000377AB" w:rsidRDefault="000377AB" w:rsidP="000377AB">
      <w:pPr>
        <w:tabs>
          <w:tab w:val="left" w:pos="567"/>
          <w:tab w:val="left" w:pos="709"/>
        </w:tabs>
        <w:spacing w:after="0" w:line="276" w:lineRule="auto"/>
        <w:ind w:firstLine="567"/>
        <w:jc w:val="both"/>
        <w:rPr>
          <w:rFonts w:ascii="Times New Roman" w:eastAsia="Times New Roman" w:hAnsi="Times New Roman" w:cs="Times New Roman"/>
          <w:sz w:val="24"/>
          <w:szCs w:val="24"/>
          <w:lang w:eastAsia="ru-RU"/>
        </w:rPr>
      </w:pPr>
      <w:r w:rsidRPr="000377AB">
        <w:rPr>
          <w:rFonts w:ascii="Times New Roman" w:eastAsia="Times New Roman" w:hAnsi="Times New Roman" w:cs="Times New Roman"/>
          <w:color w:val="000000"/>
          <w:sz w:val="24"/>
          <w:szCs w:val="24"/>
          <w:lang w:eastAsia="ru-RU"/>
        </w:rPr>
        <w:t xml:space="preserve">Не выполнение плана по НДФЛ связано с возникшими проблемами из-за пандемии </w:t>
      </w:r>
      <w:proofErr w:type="spellStart"/>
      <w:r w:rsidRPr="000377AB">
        <w:rPr>
          <w:rFonts w:ascii="Times New Roman" w:eastAsia="Times New Roman" w:hAnsi="Times New Roman" w:cs="Times New Roman"/>
          <w:color w:val="000000"/>
          <w:sz w:val="24"/>
          <w:szCs w:val="24"/>
          <w:lang w:eastAsia="ru-RU"/>
        </w:rPr>
        <w:t>коронавирусной</w:t>
      </w:r>
      <w:proofErr w:type="spellEnd"/>
      <w:r w:rsidRPr="000377AB">
        <w:rPr>
          <w:rFonts w:ascii="Times New Roman" w:eastAsia="Times New Roman" w:hAnsi="Times New Roman" w:cs="Times New Roman"/>
          <w:color w:val="000000"/>
          <w:sz w:val="24"/>
          <w:szCs w:val="24"/>
          <w:lang w:eastAsia="ru-RU"/>
        </w:rPr>
        <w:t xml:space="preserve"> инфекции и введением жестких карантинных мер, сокращением фонда заработной платы ОАО «Аэрофлот», приостановлением международного и внутреннего авиасообщения.</w:t>
      </w:r>
    </w:p>
    <w:p w:rsidR="000377AB" w:rsidRPr="000377AB" w:rsidRDefault="000377AB" w:rsidP="000377AB">
      <w:pPr>
        <w:tabs>
          <w:tab w:val="left" w:pos="567"/>
        </w:tabs>
        <w:spacing w:after="0" w:line="276" w:lineRule="auto"/>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xml:space="preserve">         В структуре неналоговых доходов местного бюджета за 2020 год, как и в прошлые годы наибольший удельный вес занимает </w:t>
      </w:r>
      <w:r w:rsidRPr="000377AB">
        <w:rPr>
          <w:rFonts w:ascii="Times New Roman" w:eastAsia="Times New Roman" w:hAnsi="Times New Roman" w:cs="Times New Roman"/>
          <w:color w:val="000000"/>
          <w:sz w:val="24"/>
          <w:szCs w:val="24"/>
          <w:lang w:eastAsia="ru-RU"/>
        </w:rPr>
        <w:t>доход, получаемый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105 152,1 тыс. руб. или 47,09%, по сравнению с 2019 годом фактическое поступление дохода в местный бюджет снижено на 3 923,3 тыс. руб., за счет продажи земельных участков, задержке арендной платы за пользование земельными участками и т.д.</w:t>
      </w:r>
    </w:p>
    <w:p w:rsidR="000377AB" w:rsidRPr="000377AB" w:rsidRDefault="000377AB" w:rsidP="000377AB">
      <w:pPr>
        <w:tabs>
          <w:tab w:val="left" w:pos="567"/>
          <w:tab w:val="left" w:pos="709"/>
        </w:tabs>
        <w:spacing w:after="0" w:line="276" w:lineRule="auto"/>
        <w:jc w:val="both"/>
        <w:rPr>
          <w:rFonts w:ascii="Times New Roman" w:eastAsia="Times New Roman" w:hAnsi="Times New Roman" w:cs="Times New Roman"/>
          <w:color w:val="000000"/>
          <w:sz w:val="24"/>
          <w:szCs w:val="24"/>
          <w:lang w:eastAsia="ru-RU"/>
        </w:rPr>
      </w:pPr>
      <w:r w:rsidRPr="000377AB">
        <w:rPr>
          <w:rFonts w:ascii="Times New Roman" w:eastAsia="Times New Roman" w:hAnsi="Times New Roman" w:cs="Times New Roman"/>
          <w:color w:val="000000"/>
          <w:sz w:val="24"/>
          <w:szCs w:val="24"/>
          <w:lang w:eastAsia="ru-RU"/>
        </w:rPr>
        <w:t xml:space="preserve">         В структуре безвозмездных поступлений местного бюджета из иных бюджетов бюджетной системы РФ и прочих безвозмездных поступлений за 2020 год: доля субсидий составляет 182 391,9 тыс. руб. или 11,84%, доля субвенций составляет 1 369 192,0 тыс. руб. или 88,88%, доля иных и прочих поступлений составляет 299,4 или 0,02%.</w:t>
      </w:r>
    </w:p>
    <w:p w:rsidR="000377AB" w:rsidRPr="000377AB" w:rsidRDefault="000377AB" w:rsidP="000377AB">
      <w:pPr>
        <w:tabs>
          <w:tab w:val="left" w:pos="567"/>
        </w:tabs>
        <w:spacing w:after="0" w:line="276" w:lineRule="auto"/>
        <w:jc w:val="both"/>
        <w:rPr>
          <w:rFonts w:ascii="Times New Roman" w:eastAsia="Times New Roman" w:hAnsi="Times New Roman" w:cs="Times New Roman"/>
          <w:color w:val="000000"/>
          <w:sz w:val="24"/>
          <w:szCs w:val="24"/>
          <w:lang w:eastAsia="ru-RU"/>
        </w:rPr>
      </w:pPr>
      <w:r w:rsidRPr="000377AB">
        <w:rPr>
          <w:rFonts w:ascii="Times New Roman" w:eastAsia="Calibri" w:hAnsi="Times New Roman" w:cs="Times New Roman"/>
          <w:sz w:val="24"/>
          <w:szCs w:val="24"/>
        </w:rPr>
        <w:t xml:space="preserve">         Плановый показатель</w:t>
      </w:r>
      <w:r w:rsidRPr="000377AB">
        <w:rPr>
          <w:rFonts w:ascii="Times New Roman" w:eastAsia="Calibri" w:hAnsi="Times New Roman" w:cs="Times New Roman"/>
          <w:noProof/>
          <w:sz w:val="24"/>
          <w:szCs w:val="24"/>
          <w:lang w:eastAsia="ru-RU"/>
        </w:rPr>
        <w:t xml:space="preserve"> безвозмездных поступлений из иных источников бюджетов бюджетной системы РФ в </w:t>
      </w:r>
      <w:r w:rsidRPr="000377AB">
        <w:rPr>
          <w:rFonts w:ascii="Times New Roman" w:eastAsia="Calibri" w:hAnsi="Times New Roman" w:cs="Times New Roman"/>
          <w:sz w:val="24"/>
          <w:szCs w:val="24"/>
        </w:rPr>
        <w:t xml:space="preserve">местный бюджет </w:t>
      </w:r>
      <w:r w:rsidRPr="000377AB">
        <w:rPr>
          <w:rFonts w:ascii="Times New Roman" w:eastAsia="Calibri" w:hAnsi="Times New Roman" w:cs="Times New Roman"/>
          <w:noProof/>
          <w:sz w:val="24"/>
          <w:szCs w:val="24"/>
          <w:lang w:eastAsia="ru-RU"/>
        </w:rPr>
        <w:t xml:space="preserve">за 2020 год невыполнен </w:t>
      </w:r>
      <w:r w:rsidRPr="000377AB">
        <w:rPr>
          <w:rFonts w:ascii="Times New Roman" w:eastAsia="Calibri" w:hAnsi="Times New Roman" w:cs="Times New Roman"/>
          <w:sz w:val="24"/>
          <w:szCs w:val="24"/>
        </w:rPr>
        <w:t xml:space="preserve">на 245 315,8 тыс. руб., </w:t>
      </w:r>
      <w:r w:rsidRPr="000377AB">
        <w:rPr>
          <w:rFonts w:ascii="Times New Roman" w:eastAsia="Calibri" w:hAnsi="Times New Roman" w:cs="Times New Roman"/>
          <w:noProof/>
          <w:sz w:val="24"/>
          <w:szCs w:val="24"/>
          <w:lang w:eastAsia="ru-RU"/>
        </w:rPr>
        <w:lastRenderedPageBreak/>
        <w:t xml:space="preserve">за счет </w:t>
      </w:r>
      <w:r w:rsidRPr="000377AB">
        <w:rPr>
          <w:rFonts w:ascii="Times New Roman" w:eastAsia="Times New Roman" w:hAnsi="Times New Roman" w:cs="Times New Roman"/>
          <w:color w:val="000000"/>
          <w:sz w:val="24"/>
          <w:szCs w:val="24"/>
          <w:lang w:eastAsia="ru-RU"/>
        </w:rPr>
        <w:t>низкого исполнения расходов по субсидии на капитальные вложения в общеобразовательные организации в целях обеспечения односменного режима обучения, недовы</w:t>
      </w:r>
      <w:r w:rsidRPr="000377AB">
        <w:rPr>
          <w:rFonts w:ascii="Times New Roman" w:eastAsia="Calibri" w:hAnsi="Times New Roman" w:cs="Times New Roman"/>
          <w:sz w:val="24"/>
          <w:szCs w:val="24"/>
        </w:rPr>
        <w:t>полнение составило</w:t>
      </w:r>
      <w:r w:rsidRPr="000377AB">
        <w:rPr>
          <w:rFonts w:ascii="Times New Roman" w:eastAsia="Times New Roman" w:hAnsi="Times New Roman" w:cs="Times New Roman"/>
          <w:color w:val="000000"/>
          <w:sz w:val="24"/>
          <w:szCs w:val="24"/>
          <w:lang w:eastAsia="ru-RU"/>
        </w:rPr>
        <w:t xml:space="preserve"> 189 454,4 тыс. руб. и т.д.   </w:t>
      </w:r>
    </w:p>
    <w:p w:rsidR="007A353A" w:rsidRDefault="000377AB" w:rsidP="000377AB">
      <w:pPr>
        <w:shd w:val="clear" w:color="auto" w:fill="FFFFFF"/>
        <w:tabs>
          <w:tab w:val="left" w:pos="567"/>
          <w:tab w:val="left" w:pos="709"/>
        </w:tabs>
        <w:spacing w:after="0" w:line="276" w:lineRule="auto"/>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xml:space="preserve">         На 2020 год местный бюджет сформирован в разрезе 19 муниципальных программ и не программных расходов. По итогам 2020 года сумма программных расходов составила </w:t>
      </w:r>
      <w:r w:rsidRPr="000377AB">
        <w:rPr>
          <w:rFonts w:ascii="Times New Roman" w:eastAsia="Times New Roman" w:hAnsi="Times New Roman" w:cs="Times New Roman"/>
          <w:color w:val="000000"/>
          <w:sz w:val="24"/>
          <w:szCs w:val="24"/>
          <w:lang w:eastAsia="ru-RU"/>
        </w:rPr>
        <w:t xml:space="preserve">3 012 026,1 </w:t>
      </w:r>
      <w:r w:rsidRPr="000377AB">
        <w:rPr>
          <w:rFonts w:ascii="Times New Roman" w:eastAsia="Calibri" w:hAnsi="Times New Roman" w:cs="Times New Roman"/>
          <w:sz w:val="24"/>
          <w:szCs w:val="24"/>
        </w:rPr>
        <w:t xml:space="preserve">тыс. руб., не программных расходов </w:t>
      </w:r>
      <w:r w:rsidRPr="000377AB">
        <w:rPr>
          <w:rFonts w:ascii="Times New Roman" w:eastAsia="Times New Roman" w:hAnsi="Times New Roman" w:cs="Times New Roman"/>
          <w:color w:val="000000"/>
          <w:sz w:val="24"/>
          <w:szCs w:val="24"/>
          <w:lang w:eastAsia="ru-RU"/>
        </w:rPr>
        <w:t xml:space="preserve">34 235,1 </w:t>
      </w:r>
      <w:r w:rsidRPr="000377AB">
        <w:rPr>
          <w:rFonts w:ascii="Times New Roman" w:eastAsia="Calibri" w:hAnsi="Times New Roman" w:cs="Times New Roman"/>
          <w:sz w:val="24"/>
          <w:szCs w:val="24"/>
        </w:rPr>
        <w:t>тыс. руб.</w:t>
      </w:r>
    </w:p>
    <w:p w:rsidR="000377AB" w:rsidRPr="000377AB" w:rsidRDefault="000377AB" w:rsidP="000377AB">
      <w:pPr>
        <w:shd w:val="clear" w:color="auto" w:fill="FFFFFF"/>
        <w:tabs>
          <w:tab w:val="left" w:pos="567"/>
          <w:tab w:val="left" w:pos="709"/>
        </w:tabs>
        <w:spacing w:after="0" w:line="276" w:lineRule="auto"/>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xml:space="preserve">         По итогам 2020 года, наибольший процент исполнения программных расходов местного бюджета составили муниципальные программы: «Предпринимательство» 100%, «Жилище» 99,43%, </w:t>
      </w:r>
      <w:r w:rsidRPr="000377AB">
        <w:rPr>
          <w:rFonts w:ascii="Times New Roman" w:eastAsia="Times New Roman" w:hAnsi="Times New Roman" w:cs="Times New Roman"/>
          <w:color w:val="000000"/>
          <w:sz w:val="24"/>
          <w:szCs w:val="24"/>
          <w:lang w:eastAsia="ru-RU"/>
        </w:rPr>
        <w:t xml:space="preserve">«Спорт» </w:t>
      </w:r>
      <w:r w:rsidRPr="000377AB">
        <w:rPr>
          <w:rFonts w:ascii="Times New Roman" w:eastAsia="Calibri" w:hAnsi="Times New Roman" w:cs="Times New Roman"/>
          <w:sz w:val="24"/>
          <w:szCs w:val="24"/>
        </w:rPr>
        <w:t>98,81%.</w:t>
      </w:r>
    </w:p>
    <w:p w:rsidR="000377AB" w:rsidRPr="000377AB" w:rsidRDefault="000377AB" w:rsidP="000377AB">
      <w:pPr>
        <w:shd w:val="clear" w:color="auto" w:fill="FFFFFF"/>
        <w:tabs>
          <w:tab w:val="left" w:pos="567"/>
          <w:tab w:val="left" w:pos="709"/>
        </w:tabs>
        <w:spacing w:after="0" w:line="276" w:lineRule="auto"/>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xml:space="preserve">         По итогам 2020 года наименьший процент исполнения программных расходов местного бюджета составили муниципальные программы: «Развитие сельского хозяйства» 29,72%; «Строительство объектов социальной инфраструктуры» 30,83%, </w:t>
      </w:r>
      <w:r w:rsidRPr="000377AB">
        <w:rPr>
          <w:rFonts w:ascii="Times New Roman" w:eastAsia="Times New Roman" w:hAnsi="Times New Roman" w:cs="Times New Roman"/>
          <w:color w:val="000000"/>
          <w:sz w:val="24"/>
          <w:szCs w:val="24"/>
          <w:lang w:eastAsia="ru-RU"/>
        </w:rPr>
        <w:t>«Переселение граждан из аварийного жилищного фонда» 62,86%</w:t>
      </w:r>
      <w:r w:rsidRPr="000377AB">
        <w:rPr>
          <w:rFonts w:ascii="Times New Roman" w:eastAsia="Calibri" w:hAnsi="Times New Roman" w:cs="Times New Roman"/>
          <w:sz w:val="24"/>
          <w:szCs w:val="24"/>
        </w:rPr>
        <w:t xml:space="preserve">. </w:t>
      </w:r>
    </w:p>
    <w:p w:rsidR="000377AB" w:rsidRPr="000377AB" w:rsidRDefault="000377AB" w:rsidP="000377AB">
      <w:pPr>
        <w:tabs>
          <w:tab w:val="left" w:pos="567"/>
          <w:tab w:val="left" w:pos="709"/>
          <w:tab w:val="left" w:pos="851"/>
          <w:tab w:val="left" w:pos="993"/>
        </w:tabs>
        <w:spacing w:after="0" w:line="276" w:lineRule="auto"/>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xml:space="preserve">          Расходы резервного фонда Администрации городского округа Лобня за 2020 год составили </w:t>
      </w:r>
      <w:r w:rsidRPr="000377AB">
        <w:rPr>
          <w:rFonts w:ascii="Times New Roman" w:eastAsia="Times New Roman" w:hAnsi="Times New Roman" w:cs="Times New Roman"/>
          <w:color w:val="000000"/>
          <w:sz w:val="24"/>
          <w:szCs w:val="24"/>
          <w:lang w:eastAsia="ru-RU"/>
        </w:rPr>
        <w:t>15 240,9</w:t>
      </w:r>
      <w:r w:rsidRPr="000377AB">
        <w:rPr>
          <w:rFonts w:ascii="Times New Roman" w:eastAsia="Calibri" w:hAnsi="Times New Roman" w:cs="Times New Roman"/>
          <w:sz w:val="24"/>
          <w:szCs w:val="24"/>
        </w:rPr>
        <w:t xml:space="preserve"> тыс. руб., в пределах допустимого значения, установленного статьей 81 Бюджетного кодекса РФ, которые были направлены по решению исполнительной власти городского округа Лобня во все отрасли городского хозяйства, в </w:t>
      </w:r>
      <w:proofErr w:type="spellStart"/>
      <w:r w:rsidRPr="000377AB">
        <w:rPr>
          <w:rFonts w:ascii="Times New Roman" w:eastAsia="Calibri" w:hAnsi="Times New Roman" w:cs="Times New Roman"/>
          <w:sz w:val="24"/>
          <w:szCs w:val="24"/>
        </w:rPr>
        <w:t>т.ч</w:t>
      </w:r>
      <w:proofErr w:type="spellEnd"/>
      <w:r w:rsidRPr="000377AB">
        <w:rPr>
          <w:rFonts w:ascii="Times New Roman" w:eastAsia="Calibri" w:hAnsi="Times New Roman" w:cs="Times New Roman"/>
          <w:sz w:val="24"/>
          <w:szCs w:val="24"/>
        </w:rPr>
        <w:t>.: в образование, культуру, спорт, благоустройство городского округа.</w:t>
      </w:r>
    </w:p>
    <w:p w:rsidR="000377AB" w:rsidRPr="000377AB" w:rsidRDefault="000377AB" w:rsidP="000377AB">
      <w:pPr>
        <w:tabs>
          <w:tab w:val="left" w:pos="567"/>
          <w:tab w:val="left" w:pos="709"/>
        </w:tabs>
        <w:spacing w:after="0" w:line="276" w:lineRule="auto"/>
        <w:jc w:val="both"/>
        <w:rPr>
          <w:rFonts w:ascii="Times New Roman" w:eastAsia="Times New Roman" w:hAnsi="Times New Roman" w:cs="Times New Roman"/>
          <w:bCs/>
          <w:color w:val="000000"/>
          <w:sz w:val="24"/>
          <w:szCs w:val="24"/>
          <w:lang w:eastAsia="ru-RU"/>
        </w:rPr>
      </w:pPr>
      <w:r w:rsidRPr="000377AB">
        <w:rPr>
          <w:rFonts w:ascii="Times New Roman" w:eastAsia="Calibri" w:hAnsi="Times New Roman" w:cs="Times New Roman"/>
          <w:sz w:val="24"/>
          <w:szCs w:val="24"/>
        </w:rPr>
        <w:t xml:space="preserve">         </w:t>
      </w:r>
      <w:r w:rsidRPr="000377AB">
        <w:rPr>
          <w:rFonts w:ascii="Times New Roman" w:eastAsia="Times New Roman" w:hAnsi="Times New Roman" w:cs="Times New Roman"/>
          <w:bCs/>
          <w:color w:val="000000"/>
          <w:sz w:val="24"/>
          <w:szCs w:val="24"/>
          <w:lang w:eastAsia="ru-RU"/>
        </w:rPr>
        <w:t>На основании пункта 10 и пункта 17 статьи 103 Бюджетного кодекса РФ</w:t>
      </w:r>
      <w:r w:rsidRPr="000377AB">
        <w:rPr>
          <w:rFonts w:ascii="Times New Roman" w:eastAsia="Calibri" w:hAnsi="Times New Roman" w:cs="Times New Roman"/>
          <w:sz w:val="24"/>
          <w:szCs w:val="24"/>
        </w:rPr>
        <w:t xml:space="preserve">, в 2020 году в местный бюджет привлечено заемных средств в виде банковского кредита 238 000,0 тыс. руб., погашение долговых обязательств за 2020 год составило 163 000,0 тыс. руб.  Остаток заемных средств бюджета городского округа Лобня на 01.01.2021 года составляет 281 000,0 тыс. руб. </w:t>
      </w:r>
      <w:r w:rsidRPr="000377AB">
        <w:rPr>
          <w:rFonts w:ascii="Times New Roman" w:eastAsia="Times New Roman" w:hAnsi="Times New Roman" w:cs="Times New Roman"/>
          <w:bCs/>
          <w:color w:val="000000"/>
          <w:sz w:val="24"/>
          <w:szCs w:val="24"/>
          <w:lang w:eastAsia="ru-RU"/>
        </w:rPr>
        <w:t xml:space="preserve">Сумма выплаченных процентов по кредиту (муниципальный долг) по итогам 2020 года составила 14 086,6 тыс. руб.  </w:t>
      </w:r>
    </w:p>
    <w:p w:rsidR="000377AB" w:rsidRPr="000377AB" w:rsidRDefault="000377AB" w:rsidP="000377AB">
      <w:pPr>
        <w:widowControl w:val="0"/>
        <w:tabs>
          <w:tab w:val="left" w:pos="567"/>
        </w:tabs>
        <w:autoSpaceDE w:val="0"/>
        <w:autoSpaceDN w:val="0"/>
        <w:adjustRightInd w:val="0"/>
        <w:spacing w:after="0" w:line="276" w:lineRule="auto"/>
        <w:jc w:val="both"/>
        <w:rPr>
          <w:rFonts w:ascii="Times New Roman" w:eastAsia="Calibri" w:hAnsi="Times New Roman" w:cs="Times New Roman"/>
          <w:sz w:val="24"/>
          <w:szCs w:val="24"/>
        </w:rPr>
      </w:pPr>
      <w:r w:rsidRPr="000377AB">
        <w:rPr>
          <w:rFonts w:ascii="Times New Roman" w:eastAsia="Times New Roman" w:hAnsi="Times New Roman" w:cs="Times New Roman"/>
          <w:bCs/>
          <w:color w:val="000000"/>
          <w:sz w:val="24"/>
          <w:szCs w:val="24"/>
          <w:lang w:eastAsia="ru-RU"/>
        </w:rPr>
        <w:t xml:space="preserve">         На основании статьи 115 Бюджетного кодекса РФ, </w:t>
      </w:r>
      <w:r w:rsidRPr="000377AB">
        <w:rPr>
          <w:rFonts w:ascii="Times New Roman" w:eastAsia="Calibri" w:hAnsi="Times New Roman" w:cs="Times New Roman"/>
          <w:sz w:val="24"/>
          <w:szCs w:val="24"/>
        </w:rPr>
        <w:t xml:space="preserve">за 2020 год Администрацией предоставлена муниципальная гарантия </w:t>
      </w:r>
      <w:r w:rsidRPr="000377AB">
        <w:rPr>
          <w:rFonts w:ascii="Times New Roman" w:eastAsia="Times New Roman" w:hAnsi="Times New Roman" w:cs="Times New Roman"/>
          <w:color w:val="000000"/>
          <w:sz w:val="24"/>
          <w:szCs w:val="24"/>
          <w:lang w:eastAsia="ru-RU"/>
        </w:rPr>
        <w:t>УМП «</w:t>
      </w:r>
      <w:proofErr w:type="spellStart"/>
      <w:r w:rsidRPr="000377AB">
        <w:rPr>
          <w:rFonts w:ascii="Times New Roman" w:eastAsia="Times New Roman" w:hAnsi="Times New Roman" w:cs="Times New Roman"/>
          <w:color w:val="000000"/>
          <w:sz w:val="24"/>
          <w:szCs w:val="24"/>
          <w:lang w:eastAsia="ru-RU"/>
        </w:rPr>
        <w:t>Лобненская</w:t>
      </w:r>
      <w:proofErr w:type="spellEnd"/>
      <w:r w:rsidRPr="000377AB">
        <w:rPr>
          <w:rFonts w:ascii="Times New Roman" w:eastAsia="Times New Roman" w:hAnsi="Times New Roman" w:cs="Times New Roman"/>
          <w:color w:val="000000"/>
          <w:sz w:val="24"/>
          <w:szCs w:val="24"/>
          <w:lang w:eastAsia="ru-RU"/>
        </w:rPr>
        <w:t xml:space="preserve"> Теплосеть» на общую сумму 60 203 тыс. руб. с правом регрессного требования, целевое назначение привлечение кредита – пополнение оборотных средств для погашения кредиторской задолженности по поставкам газа, остаток на 01.01.2021 год составляет 26 992,2 тыс. руб.</w:t>
      </w:r>
    </w:p>
    <w:p w:rsidR="000377AB" w:rsidRPr="000377AB" w:rsidRDefault="000377AB" w:rsidP="000377AB">
      <w:pPr>
        <w:tabs>
          <w:tab w:val="left" w:pos="567"/>
        </w:tabs>
        <w:spacing w:after="0" w:line="276" w:lineRule="auto"/>
        <w:ind w:firstLine="567"/>
        <w:jc w:val="both"/>
        <w:rPr>
          <w:rFonts w:ascii="Times New Roman" w:eastAsia="Times New Roman" w:hAnsi="Times New Roman" w:cs="Times New Roman"/>
          <w:sz w:val="24"/>
          <w:szCs w:val="24"/>
          <w:lang w:eastAsia="ru-RU"/>
        </w:rPr>
      </w:pPr>
      <w:r w:rsidRPr="000377AB">
        <w:rPr>
          <w:rFonts w:ascii="Times New Roman" w:eastAsia="Times New Roman" w:hAnsi="Times New Roman" w:cs="Times New Roman"/>
          <w:sz w:val="24"/>
          <w:szCs w:val="24"/>
          <w:lang w:eastAsia="ru-RU"/>
        </w:rPr>
        <w:t xml:space="preserve">На основании </w:t>
      </w:r>
      <w:r w:rsidRPr="000377AB">
        <w:rPr>
          <w:rFonts w:ascii="Times New Roman" w:eastAsia="Calibri" w:hAnsi="Times New Roman" w:cs="Times New Roman"/>
          <w:sz w:val="24"/>
          <w:szCs w:val="24"/>
        </w:rPr>
        <w:t xml:space="preserve">статьи 389 Налогового кодекса РФ, статьи 266 Гражданского кодекса РФ, всего в 2020 году за счет местного </w:t>
      </w:r>
      <w:r w:rsidRPr="000377AB">
        <w:rPr>
          <w:rFonts w:ascii="Times New Roman" w:eastAsia="Times New Roman" w:hAnsi="Times New Roman" w:cs="Times New Roman"/>
          <w:bCs/>
          <w:sz w:val="24"/>
          <w:szCs w:val="24"/>
          <w:lang w:eastAsia="ru-RU"/>
        </w:rPr>
        <w:t xml:space="preserve">бюджета предоставлено налоговых льгот </w:t>
      </w:r>
      <w:r w:rsidRPr="000377AB">
        <w:rPr>
          <w:rFonts w:ascii="Times New Roman" w:eastAsia="Calibri" w:hAnsi="Times New Roman" w:cs="Times New Roman"/>
          <w:sz w:val="24"/>
          <w:szCs w:val="24"/>
        </w:rPr>
        <w:t>(</w:t>
      </w:r>
      <w:r w:rsidRPr="000377AB">
        <w:rPr>
          <w:rFonts w:ascii="Times New Roman" w:eastAsia="Times New Roman" w:hAnsi="Times New Roman" w:cs="Times New Roman"/>
          <w:bCs/>
          <w:sz w:val="24"/>
          <w:szCs w:val="24"/>
          <w:lang w:eastAsia="ru-RU"/>
        </w:rPr>
        <w:t xml:space="preserve">потери местного бюджета) в общей сумме </w:t>
      </w:r>
      <w:r w:rsidRPr="000377AB">
        <w:rPr>
          <w:rFonts w:ascii="Times New Roman" w:eastAsia="Calibri" w:hAnsi="Times New Roman" w:cs="Times New Roman"/>
          <w:bCs/>
          <w:sz w:val="24"/>
          <w:szCs w:val="24"/>
        </w:rPr>
        <w:t xml:space="preserve">40 554,0 тыс. руб. в </w:t>
      </w:r>
      <w:proofErr w:type="spellStart"/>
      <w:r w:rsidRPr="000377AB">
        <w:rPr>
          <w:rFonts w:ascii="Times New Roman" w:eastAsia="Calibri" w:hAnsi="Times New Roman" w:cs="Times New Roman"/>
          <w:bCs/>
          <w:sz w:val="24"/>
          <w:szCs w:val="24"/>
        </w:rPr>
        <w:t>т.ч</w:t>
      </w:r>
      <w:proofErr w:type="spellEnd"/>
      <w:r w:rsidRPr="000377AB">
        <w:rPr>
          <w:rFonts w:ascii="Times New Roman" w:eastAsia="Calibri" w:hAnsi="Times New Roman" w:cs="Times New Roman"/>
          <w:bCs/>
          <w:sz w:val="24"/>
          <w:szCs w:val="24"/>
        </w:rPr>
        <w:t xml:space="preserve">. 38 705 тыс. руб. по </w:t>
      </w:r>
      <w:r w:rsidRPr="000377AB">
        <w:rPr>
          <w:rFonts w:ascii="Times New Roman" w:eastAsia="Times New Roman" w:hAnsi="Times New Roman" w:cs="Times New Roman"/>
          <w:sz w:val="24"/>
          <w:szCs w:val="24"/>
          <w:lang w:eastAsia="ru-RU"/>
        </w:rPr>
        <w:t>земельному налогу (муниципальные учреждения);</w:t>
      </w:r>
      <w:r w:rsidRPr="000377AB">
        <w:rPr>
          <w:rFonts w:ascii="Times New Roman" w:eastAsia="Calibri" w:hAnsi="Times New Roman" w:cs="Times New Roman"/>
          <w:sz w:val="24"/>
          <w:szCs w:val="24"/>
        </w:rPr>
        <w:t xml:space="preserve"> 1 849,0</w:t>
      </w:r>
      <w:r w:rsidRPr="000377AB">
        <w:rPr>
          <w:rFonts w:ascii="Times New Roman" w:eastAsia="Calibri" w:hAnsi="Times New Roman" w:cs="Times New Roman"/>
          <w:bCs/>
          <w:sz w:val="24"/>
          <w:szCs w:val="24"/>
        </w:rPr>
        <w:t xml:space="preserve"> тыс. руб. по </w:t>
      </w:r>
      <w:r w:rsidRPr="000377AB">
        <w:rPr>
          <w:rFonts w:ascii="Times New Roman" w:eastAsia="Times New Roman" w:hAnsi="Times New Roman" w:cs="Times New Roman"/>
          <w:sz w:val="24"/>
          <w:szCs w:val="24"/>
          <w:lang w:eastAsia="ru-RU"/>
        </w:rPr>
        <w:t xml:space="preserve">земельному налогу (физические лица).    </w:t>
      </w:r>
    </w:p>
    <w:p w:rsidR="000377AB" w:rsidRPr="000377AB" w:rsidRDefault="000377AB" w:rsidP="000377AB">
      <w:pPr>
        <w:tabs>
          <w:tab w:val="left" w:pos="567"/>
        </w:tabs>
        <w:spacing w:after="0" w:line="276" w:lineRule="auto"/>
        <w:ind w:firstLine="567"/>
        <w:jc w:val="both"/>
        <w:rPr>
          <w:rFonts w:ascii="Times New Roman" w:eastAsia="Times New Roman" w:hAnsi="Times New Roman" w:cs="Times New Roman"/>
          <w:sz w:val="24"/>
          <w:szCs w:val="24"/>
          <w:lang w:eastAsia="ru-RU"/>
        </w:rPr>
      </w:pPr>
      <w:r w:rsidRPr="000377AB">
        <w:rPr>
          <w:rFonts w:ascii="Times New Roman" w:eastAsia="Times New Roman" w:hAnsi="Times New Roman" w:cs="Times New Roman"/>
          <w:sz w:val="24"/>
          <w:szCs w:val="24"/>
          <w:lang w:eastAsia="ru-RU"/>
        </w:rPr>
        <w:t>Бюджет городского округа Лобня в 2020 году сохранял социальную ориентированность: 62,0% расходов местного бюджета составили расходы на систему образования; 3,37% на физическую культуру и спорт; 5,4</w:t>
      </w:r>
      <w:proofErr w:type="gramStart"/>
      <w:r w:rsidRPr="000377AB">
        <w:rPr>
          <w:rFonts w:ascii="Times New Roman" w:eastAsia="Times New Roman" w:hAnsi="Times New Roman" w:cs="Times New Roman"/>
          <w:sz w:val="24"/>
          <w:szCs w:val="24"/>
          <w:lang w:eastAsia="ru-RU"/>
        </w:rPr>
        <w:t>%  на</w:t>
      </w:r>
      <w:proofErr w:type="gramEnd"/>
      <w:r w:rsidRPr="000377AB">
        <w:rPr>
          <w:rFonts w:ascii="Times New Roman" w:eastAsia="Times New Roman" w:hAnsi="Times New Roman" w:cs="Times New Roman"/>
          <w:sz w:val="24"/>
          <w:szCs w:val="24"/>
          <w:lang w:eastAsia="ru-RU"/>
        </w:rPr>
        <w:t xml:space="preserve"> культуру и кинематографию; 3,52% на решение социальных вопросов; 0,1% на систему здравоохранения.</w:t>
      </w:r>
    </w:p>
    <w:p w:rsidR="000377AB" w:rsidRPr="000377AB" w:rsidRDefault="000377AB" w:rsidP="000377AB">
      <w:pPr>
        <w:spacing w:after="0" w:line="276" w:lineRule="auto"/>
        <w:ind w:firstLine="567"/>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 xml:space="preserve">С учетом результатов внешней проверки бюджетной отчетности городского округа Лобня по итогам 2020 года Контрольно-счетной палатой подготовлено заключение на проект отчета «об исполнении бюджета городского округа Лобня за 2020 год». </w:t>
      </w:r>
    </w:p>
    <w:p w:rsidR="000377AB" w:rsidRPr="000377AB" w:rsidRDefault="000377AB" w:rsidP="000377AB">
      <w:pPr>
        <w:spacing w:after="0" w:line="276" w:lineRule="auto"/>
        <w:ind w:firstLine="567"/>
        <w:jc w:val="both"/>
        <w:rPr>
          <w:rFonts w:ascii="Times New Roman" w:eastAsia="Calibri" w:hAnsi="Times New Roman" w:cs="Times New Roman"/>
          <w:sz w:val="24"/>
          <w:szCs w:val="24"/>
        </w:rPr>
      </w:pPr>
      <w:r w:rsidRPr="000377AB">
        <w:rPr>
          <w:rFonts w:ascii="Times New Roman" w:eastAsia="Calibri" w:hAnsi="Times New Roman" w:cs="Times New Roman"/>
          <w:sz w:val="24"/>
          <w:szCs w:val="24"/>
        </w:rPr>
        <w:t>Подготовлено восемь актов по результатам, проверок годовой бюджетной отчетности главных распорядителей бюджетных средств городского округа Лобня. Составлены протоколы о привлечении должностных лиц к административной ответственности, за нарушения правил ведения бухгалтерского учета и искажение бюджетной (бухгалтерской) отчетности.</w:t>
      </w:r>
    </w:p>
    <w:sectPr w:rsidR="000377AB" w:rsidRPr="00037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AB"/>
    <w:rsid w:val="00030D87"/>
    <w:rsid w:val="000377AB"/>
    <w:rsid w:val="0004333F"/>
    <w:rsid w:val="00047E8C"/>
    <w:rsid w:val="001D2627"/>
    <w:rsid w:val="003D4782"/>
    <w:rsid w:val="005C3002"/>
    <w:rsid w:val="006144F6"/>
    <w:rsid w:val="00685233"/>
    <w:rsid w:val="007A353A"/>
    <w:rsid w:val="008A2C3A"/>
    <w:rsid w:val="00A0564D"/>
    <w:rsid w:val="00A27F6B"/>
    <w:rsid w:val="00A57FC1"/>
    <w:rsid w:val="00BC5D2A"/>
    <w:rsid w:val="00CC22D0"/>
    <w:rsid w:val="00D530F1"/>
    <w:rsid w:val="00F2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A88B5-AE1F-4191-81E7-F36935AA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Бурцева Валентина Николаевна</dc:creator>
  <cp:keywords/>
  <dc:description/>
  <cp:lastModifiedBy>Дымовских Ольга Сергеевна</cp:lastModifiedBy>
  <cp:revision>2</cp:revision>
  <dcterms:created xsi:type="dcterms:W3CDTF">2021-11-29T08:45:00Z</dcterms:created>
  <dcterms:modified xsi:type="dcterms:W3CDTF">2021-11-29T08:45:00Z</dcterms:modified>
</cp:coreProperties>
</file>